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864" w:rsidRPr="00712864" w:rsidRDefault="00712864" w:rsidP="00712864">
      <w:pPr>
        <w:tabs>
          <w:tab w:val="left" w:pos="1770"/>
        </w:tabs>
        <w:spacing w:after="0"/>
        <w:ind w:right="142"/>
        <w:rPr>
          <w:b/>
          <w:sz w:val="16"/>
          <w:szCs w:val="16"/>
        </w:rPr>
      </w:pPr>
      <w:bookmarkStart w:id="0" w:name="_GoBack"/>
      <w:bookmarkEnd w:id="0"/>
      <w:r>
        <w:rPr>
          <w:b/>
        </w:rPr>
        <w:tab/>
      </w:r>
    </w:p>
    <w:p w:rsidR="002B7799" w:rsidRPr="005E09FF" w:rsidRDefault="00335842" w:rsidP="00860675">
      <w:pPr>
        <w:ind w:right="141"/>
        <w:jc w:val="center"/>
        <w:rPr>
          <w:b/>
        </w:rPr>
      </w:pPr>
      <w:r>
        <w:rPr>
          <w:b/>
        </w:rPr>
        <w:t xml:space="preserve">DÜNYA BANKASI HAZİRAN </w:t>
      </w:r>
      <w:r w:rsidR="002B7799" w:rsidRPr="005E09FF">
        <w:rPr>
          <w:b/>
        </w:rPr>
        <w:t>2019</w:t>
      </w:r>
      <w:r w:rsidR="00B923DD">
        <w:rPr>
          <w:b/>
        </w:rPr>
        <w:t xml:space="preserve"> EKONOMİK GÖRÜNÜM RAPORU BİLGİ NOTU</w:t>
      </w:r>
    </w:p>
    <w:p w:rsidR="00335842" w:rsidRDefault="00335842" w:rsidP="00B923DD">
      <w:pPr>
        <w:ind w:right="141"/>
        <w:jc w:val="both"/>
        <w:rPr>
          <w:b/>
        </w:rPr>
      </w:pPr>
      <w:r>
        <w:t>Dünya Bankası</w:t>
      </w:r>
      <w:r w:rsidR="00B923DD">
        <w:t xml:space="preserve"> tarafından 2019 yılı </w:t>
      </w:r>
      <w:r>
        <w:t>Haziran</w:t>
      </w:r>
      <w:r w:rsidR="00B923DD">
        <w:t xml:space="preserve"> ayın</w:t>
      </w:r>
      <w:r>
        <w:t>d</w:t>
      </w:r>
      <w:r w:rsidR="00B923DD">
        <w:t xml:space="preserve">a Ekonomik Görünüm Raporu yayımlanmış </w:t>
      </w:r>
      <w:r>
        <w:t>olup söz konusu raporda, küresel büyüme, Ocak ayında yayımlanan küresel görünüm raporuna</w:t>
      </w:r>
      <w:r w:rsidR="00B923DD">
        <w:t xml:space="preserve"> kıyasla </w:t>
      </w:r>
      <w:r>
        <w:rPr>
          <w:b/>
        </w:rPr>
        <w:t>0,3 yüzde</w:t>
      </w:r>
      <w:r w:rsidR="00B923DD" w:rsidRPr="00B923DD">
        <w:rPr>
          <w:b/>
        </w:rPr>
        <w:t xml:space="preserve"> puan aşağı yönlü revize ile</w:t>
      </w:r>
      <w:r>
        <w:rPr>
          <w:b/>
        </w:rPr>
        <w:t xml:space="preserve"> 2019 yılı için %2,6 ve 0,1 yüzde puan aşağı yönlü revize ile 2020 yılı için %2,7</w:t>
      </w:r>
      <w:r w:rsidR="00B923DD" w:rsidRPr="00B923DD">
        <w:rPr>
          <w:b/>
        </w:rPr>
        <w:t xml:space="preserve"> </w:t>
      </w:r>
      <w:r w:rsidR="00B923DD">
        <w:rPr>
          <w:b/>
        </w:rPr>
        <w:t>olarak tahmin edilmiştir.</w:t>
      </w:r>
      <w:r>
        <w:rPr>
          <w:b/>
        </w:rPr>
        <w:t xml:space="preserve"> </w:t>
      </w:r>
    </w:p>
    <w:p w:rsidR="00335842" w:rsidRPr="00335842" w:rsidRDefault="00335842" w:rsidP="00B923DD">
      <w:pPr>
        <w:ind w:right="141"/>
        <w:jc w:val="both"/>
      </w:pPr>
      <w:r w:rsidRPr="00335842">
        <w:t>Türkiye’nin büyüme tahmini ise</w:t>
      </w:r>
      <w:r>
        <w:rPr>
          <w:b/>
        </w:rPr>
        <w:t xml:space="preserve"> 2019 yılı için -%1 (2,6 yüzde puan aşağı yönlü revize); 2020 yılı için ise %3 (değişim yok) olarak belirlenmiştir. </w:t>
      </w:r>
      <w:r w:rsidRPr="00335842">
        <w:t xml:space="preserve">Ülke ve bölgelerin büyüme tahminleri </w:t>
      </w:r>
      <w:r w:rsidRPr="00335842">
        <w:rPr>
          <w:b/>
        </w:rPr>
        <w:t>Tablo 1’de</w:t>
      </w:r>
      <w:r w:rsidRPr="00335842">
        <w:t xml:space="preserve"> yer almaktadır.</w:t>
      </w:r>
    </w:p>
    <w:p w:rsidR="00712864" w:rsidRPr="00712864" w:rsidRDefault="00712864" w:rsidP="00B923DD">
      <w:pPr>
        <w:ind w:right="141"/>
        <w:jc w:val="both"/>
      </w:pPr>
      <w:r w:rsidRPr="00712864">
        <w:t xml:space="preserve">Raporda </w:t>
      </w:r>
      <w:r w:rsidR="00335842">
        <w:t>küresel ekonomiye ilişkin olarak</w:t>
      </w:r>
      <w:r w:rsidRPr="00712864">
        <w:t>;</w:t>
      </w:r>
    </w:p>
    <w:p w:rsidR="00B923DD" w:rsidRDefault="00335842" w:rsidP="00B923DD">
      <w:pPr>
        <w:pStyle w:val="ListeParagraf"/>
        <w:numPr>
          <w:ilvl w:val="0"/>
          <w:numId w:val="4"/>
        </w:numPr>
        <w:ind w:right="141"/>
        <w:jc w:val="both"/>
      </w:pPr>
      <w:r>
        <w:t xml:space="preserve">Küresel ekonominin 2019 yılında yavaşlamaya devam </w:t>
      </w:r>
      <w:r w:rsidR="006008AA">
        <w:t>ettiği,</w:t>
      </w:r>
    </w:p>
    <w:p w:rsidR="00A55F03" w:rsidRDefault="00A55F03" w:rsidP="00B923DD">
      <w:pPr>
        <w:pStyle w:val="ListeParagraf"/>
        <w:numPr>
          <w:ilvl w:val="0"/>
          <w:numId w:val="4"/>
        </w:numPr>
        <w:ind w:right="141"/>
        <w:jc w:val="both"/>
      </w:pPr>
      <w:r>
        <w:t>Gelişmiş ve gelişmekte olan ekonomilerde yatırımlardaki t</w:t>
      </w:r>
      <w:r w:rsidR="003B3A53">
        <w:t>oparlanmanın</w:t>
      </w:r>
      <w:r>
        <w:t xml:space="preserve"> zayıf kalmasının</w:t>
      </w:r>
      <w:r w:rsidR="003B3A53">
        <w:t xml:space="preserve"> ve küresel ticaretin beklentilerden daha zayıf performans sergilemesinin,</w:t>
      </w:r>
      <w:r>
        <w:t xml:space="preserve"> büyüme tahminlerinin düşmesine ve </w:t>
      </w:r>
      <w:r w:rsidR="003B3A53">
        <w:t>“</w:t>
      </w:r>
      <w:r>
        <w:t>Sürdürülebilir Kalkınma Hedeflerine</w:t>
      </w:r>
      <w:r w:rsidR="003B3A53">
        <w:t>”</w:t>
      </w:r>
      <w:r>
        <w:t xml:space="preserve"> ulaşılmasının zorlaşmasına yol açtığı,</w:t>
      </w:r>
    </w:p>
    <w:p w:rsidR="00A55F03" w:rsidRDefault="00A55F03" w:rsidP="00B923DD">
      <w:pPr>
        <w:pStyle w:val="ListeParagraf"/>
        <w:numPr>
          <w:ilvl w:val="0"/>
          <w:numId w:val="4"/>
        </w:numPr>
        <w:ind w:right="141"/>
        <w:jc w:val="both"/>
      </w:pPr>
      <w:r>
        <w:t>Ekonomiyi olumsuz etkileyen risklerin varlığını koruduğu,</w:t>
      </w:r>
    </w:p>
    <w:p w:rsidR="00A55F03" w:rsidRDefault="00A55F03" w:rsidP="009634EE">
      <w:pPr>
        <w:pStyle w:val="ListeParagraf"/>
        <w:numPr>
          <w:ilvl w:val="0"/>
          <w:numId w:val="4"/>
        </w:numPr>
        <w:ind w:right="141"/>
        <w:jc w:val="both"/>
      </w:pPr>
      <w:r>
        <w:t xml:space="preserve">Artması muhtemel ticari gerginliklerin, gelişmiş ülke ekonomilerinde beklenenin ötesinde gerçekleşen yavaşlamanın ve gelişmekte olan ülkelerdeki finansal </w:t>
      </w:r>
      <w:r w:rsidR="002A66D2">
        <w:t>çalkantının</w:t>
      </w:r>
      <w:r>
        <w:t xml:space="preserve"> küresel ekonomi üzerinde aşağı yönlü baskı oluşturduğu,</w:t>
      </w:r>
    </w:p>
    <w:p w:rsidR="00A55F03" w:rsidRDefault="00A55F03" w:rsidP="009634EE">
      <w:pPr>
        <w:pStyle w:val="ListeParagraf"/>
        <w:numPr>
          <w:ilvl w:val="0"/>
          <w:numId w:val="4"/>
        </w:numPr>
        <w:ind w:right="141"/>
        <w:jc w:val="both"/>
      </w:pPr>
      <w:r>
        <w:t>Yükselen borçluluk oranlarının gelişmekte olan ülke hükümetlerini, ekonomik aktiviteyi canlandırma ve büyümeyi sağlayacak yatırımları finanse etme anlamında zorladığı,</w:t>
      </w:r>
    </w:p>
    <w:p w:rsidR="00A55F03" w:rsidRDefault="003B3A53" w:rsidP="009634EE">
      <w:pPr>
        <w:pStyle w:val="ListeParagraf"/>
        <w:numPr>
          <w:ilvl w:val="0"/>
          <w:numId w:val="4"/>
        </w:numPr>
        <w:ind w:right="141"/>
        <w:jc w:val="both"/>
      </w:pPr>
      <w:r>
        <w:t>Bu riskler göz önüne alındığında özel yatırımları ve verimliliği artırmak üzere reformlara ihtiyaç olduğu,</w:t>
      </w:r>
    </w:p>
    <w:p w:rsidR="002A66D2" w:rsidRDefault="002A66D2" w:rsidP="002A66D2">
      <w:pPr>
        <w:pStyle w:val="ListeParagraf"/>
        <w:numPr>
          <w:ilvl w:val="0"/>
          <w:numId w:val="4"/>
        </w:numPr>
        <w:ind w:right="141"/>
        <w:jc w:val="both"/>
      </w:pPr>
      <w:r>
        <w:t>Uygulanacak politikaların, a</w:t>
      </w:r>
      <w:r w:rsidRPr="002A66D2">
        <w:t xml:space="preserve">ltyapı ve yönetişim kalitesini artırırken pazarlara ve teknolojiye erişimi güçlendirmeye yönelik </w:t>
      </w:r>
      <w:r>
        <w:t xml:space="preserve">olmasına öncelik vermesi, </w:t>
      </w:r>
      <w:r w:rsidRPr="002A66D2">
        <w:t>uygun maliyetli ve özel sektör liderliğ</w:t>
      </w:r>
      <w:r>
        <w:t>indeki çözümlerle uygulanması gerektiği,</w:t>
      </w:r>
    </w:p>
    <w:p w:rsidR="001E0011" w:rsidRDefault="002A66D2" w:rsidP="00B60A71">
      <w:pPr>
        <w:pStyle w:val="ListeParagraf"/>
        <w:numPr>
          <w:ilvl w:val="0"/>
          <w:numId w:val="4"/>
        </w:numPr>
        <w:ind w:right="141"/>
        <w:jc w:val="both"/>
      </w:pPr>
      <w:r>
        <w:t>Yatırım ortamını iyileştirici yapısal reformların uygulanmasının ekonomik görünümü olumlu yönde etkileyeceği,</w:t>
      </w:r>
    </w:p>
    <w:p w:rsidR="001E0011" w:rsidRDefault="00B60A71" w:rsidP="00B60A71">
      <w:pPr>
        <w:pStyle w:val="ListeParagraf"/>
        <w:numPr>
          <w:ilvl w:val="0"/>
          <w:numId w:val="4"/>
        </w:numPr>
        <w:ind w:right="141"/>
        <w:jc w:val="both"/>
      </w:pPr>
      <w:r w:rsidRPr="00B60A71">
        <w:t xml:space="preserve">Düşük küresel enflasyon ve büyüme görünümünün kötüleşmesiyle </w:t>
      </w:r>
      <w:r>
        <w:t>FED</w:t>
      </w:r>
      <w:r w:rsidRPr="00B60A71">
        <w:t xml:space="preserve"> ve diğer </w:t>
      </w:r>
      <w:r>
        <w:t>gelişmiş ülke</w:t>
      </w:r>
      <w:r w:rsidRPr="00B60A71">
        <w:t xml:space="preserve"> merkez bankalarının yakın vadede para politikasını sıkılaştırması ihtimali</w:t>
      </w:r>
      <w:r>
        <w:t xml:space="preserve">ni azalttığı, bu durumun </w:t>
      </w:r>
      <w:r>
        <w:lastRenderedPageBreak/>
        <w:t>küresel finansal koşulların gevşemesini ve gelişmekte olan ülkelere fon akışlarının toparlanmasını sağladığı,</w:t>
      </w:r>
    </w:p>
    <w:p w:rsidR="001E0011" w:rsidRDefault="00B60A71" w:rsidP="00B60A71">
      <w:pPr>
        <w:pStyle w:val="ListeParagraf"/>
        <w:numPr>
          <w:ilvl w:val="0"/>
          <w:numId w:val="4"/>
        </w:numPr>
        <w:ind w:right="141"/>
        <w:jc w:val="both"/>
      </w:pPr>
      <w:r>
        <w:t>Zayıf seyreden dış talebin gelişmekte olan ülkelerin ihracatları üzerinde baskı oluşturduğu,</w:t>
      </w:r>
    </w:p>
    <w:p w:rsidR="001E0011" w:rsidRDefault="00B60A71" w:rsidP="00B60A71">
      <w:pPr>
        <w:pStyle w:val="ListeParagraf"/>
        <w:numPr>
          <w:ilvl w:val="0"/>
          <w:numId w:val="4"/>
        </w:numPr>
        <w:ind w:right="141"/>
        <w:jc w:val="both"/>
      </w:pPr>
      <w:r>
        <w:t>Endüstriyel emtialara olan küresel talep azalmasına karşın</w:t>
      </w:r>
      <w:r w:rsidR="001E0011">
        <w:t>,</w:t>
      </w:r>
      <w:r>
        <w:t xml:space="preserve"> arz koşullarının sıkılaşması nedeniyle emtia fiyatlarının kısmi ölçüde toparlandığı</w:t>
      </w:r>
    </w:p>
    <w:p w:rsidR="00B60A71" w:rsidRDefault="00B60A71" w:rsidP="00B60A71">
      <w:pPr>
        <w:pStyle w:val="ListeParagraf"/>
        <w:numPr>
          <w:ilvl w:val="0"/>
          <w:numId w:val="4"/>
        </w:numPr>
        <w:ind w:right="141"/>
        <w:jc w:val="both"/>
      </w:pPr>
      <w:r>
        <w:t xml:space="preserve">Gelişmekte olan ekonomilerde artan kamu borçlarının maliye politikasının </w:t>
      </w:r>
      <w:r w:rsidR="001E0011">
        <w:t>verimliliğini</w:t>
      </w:r>
      <w:r>
        <w:t xml:space="preserve"> </w:t>
      </w:r>
      <w:r w:rsidR="001E0011">
        <w:t>düşürdüğü</w:t>
      </w:r>
    </w:p>
    <w:p w:rsidR="001E0011" w:rsidRDefault="001E0011" w:rsidP="001E0011">
      <w:pPr>
        <w:ind w:right="141"/>
        <w:jc w:val="both"/>
      </w:pPr>
      <w:r>
        <w:t>ifade edilmiştir.</w:t>
      </w:r>
    </w:p>
    <w:p w:rsidR="00B60A71" w:rsidRDefault="00B60A71" w:rsidP="00B60A71">
      <w:pPr>
        <w:ind w:right="141"/>
        <w:jc w:val="both"/>
      </w:pPr>
    </w:p>
    <w:p w:rsidR="001E0011" w:rsidRDefault="001E0011" w:rsidP="00574DBB">
      <w:pPr>
        <w:ind w:right="141"/>
        <w:jc w:val="both"/>
      </w:pPr>
    </w:p>
    <w:p w:rsidR="001E0011" w:rsidRDefault="001E0011" w:rsidP="00574DBB">
      <w:pPr>
        <w:ind w:right="141"/>
        <w:jc w:val="both"/>
      </w:pPr>
    </w:p>
    <w:p w:rsidR="001E0011" w:rsidRDefault="001E0011" w:rsidP="00574DBB">
      <w:pPr>
        <w:ind w:right="141"/>
        <w:jc w:val="both"/>
      </w:pPr>
    </w:p>
    <w:p w:rsidR="001E0011" w:rsidRDefault="001E0011" w:rsidP="00574DBB">
      <w:pPr>
        <w:ind w:right="141"/>
        <w:jc w:val="both"/>
      </w:pPr>
    </w:p>
    <w:p w:rsidR="001E0011" w:rsidRDefault="001E0011" w:rsidP="00574DBB">
      <w:pPr>
        <w:ind w:right="141"/>
        <w:jc w:val="both"/>
      </w:pPr>
    </w:p>
    <w:p w:rsidR="001E0011" w:rsidRDefault="001E0011" w:rsidP="001E0011">
      <w:pPr>
        <w:spacing w:after="0"/>
        <w:ind w:right="141"/>
        <w:jc w:val="both"/>
      </w:pPr>
    </w:p>
    <w:p w:rsidR="001E0011" w:rsidRDefault="001E0011" w:rsidP="001E0011">
      <w:pPr>
        <w:pStyle w:val="ResimYazs"/>
        <w:keepNext/>
        <w:spacing w:after="0"/>
        <w:jc w:val="both"/>
      </w:pPr>
      <w:r w:rsidRPr="001E0011">
        <w:rPr>
          <w:b/>
        </w:rPr>
        <w:lastRenderedPageBreak/>
        <w:t xml:space="preserve">Tablo </w:t>
      </w:r>
      <w:r w:rsidRPr="001E0011">
        <w:rPr>
          <w:b/>
        </w:rPr>
        <w:fldChar w:fldCharType="begin"/>
      </w:r>
      <w:r w:rsidRPr="001E0011">
        <w:rPr>
          <w:b/>
        </w:rPr>
        <w:instrText xml:space="preserve"> SEQ Tablo \* ARABIC </w:instrText>
      </w:r>
      <w:r w:rsidRPr="001E0011">
        <w:rPr>
          <w:b/>
        </w:rPr>
        <w:fldChar w:fldCharType="separate"/>
      </w:r>
      <w:r w:rsidRPr="001E0011">
        <w:rPr>
          <w:b/>
          <w:noProof/>
        </w:rPr>
        <w:t>1</w:t>
      </w:r>
      <w:r w:rsidRPr="001E0011">
        <w:rPr>
          <w:b/>
        </w:rPr>
        <w:fldChar w:fldCharType="end"/>
      </w:r>
      <w:r w:rsidRPr="001E0011">
        <w:rPr>
          <w:b/>
        </w:rPr>
        <w:t>:</w:t>
      </w:r>
      <w:r>
        <w:t xml:space="preserve"> Dünya Bankası Reel GSYH Büyüme Tahminleri</w:t>
      </w:r>
      <w:r>
        <w:rPr>
          <w:noProof/>
        </w:rPr>
        <w:t xml:space="preserve"> (%)</w:t>
      </w:r>
    </w:p>
    <w:p w:rsidR="001E0011" w:rsidRDefault="001E0011" w:rsidP="005E1BF9">
      <w:pPr>
        <w:ind w:right="141"/>
        <w:jc w:val="center"/>
        <w:rPr>
          <w:i/>
          <w:sz w:val="18"/>
          <w:szCs w:val="18"/>
        </w:rPr>
      </w:pPr>
      <w:r w:rsidRPr="001E0011">
        <w:rPr>
          <w:noProof/>
          <w:lang w:eastAsia="tr-TR"/>
        </w:rPr>
        <w:drawing>
          <wp:inline distT="0" distB="0" distL="0" distR="0">
            <wp:extent cx="5669280" cy="6369433"/>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366" cy="6377394"/>
                    </a:xfrm>
                    <a:prstGeom prst="rect">
                      <a:avLst/>
                    </a:prstGeom>
                    <a:noFill/>
                    <a:ln>
                      <a:noFill/>
                    </a:ln>
                  </pic:spPr>
                </pic:pic>
              </a:graphicData>
            </a:graphic>
          </wp:inline>
        </w:drawing>
      </w:r>
      <w:r w:rsidRPr="001E0011">
        <w:rPr>
          <w:b/>
          <w:i/>
          <w:sz w:val="18"/>
          <w:szCs w:val="18"/>
        </w:rPr>
        <w:t>Kaynak:</w:t>
      </w:r>
      <w:r w:rsidRPr="001E0011">
        <w:rPr>
          <w:i/>
          <w:sz w:val="18"/>
          <w:szCs w:val="18"/>
        </w:rPr>
        <w:t xml:space="preserve"> Dünya Bankası Ekonomik Görünüm Raporu (Haziran 2019)</w:t>
      </w:r>
    </w:p>
    <w:p w:rsidR="001E0011" w:rsidRPr="001E0011" w:rsidRDefault="001E0011" w:rsidP="001E0011">
      <w:pPr>
        <w:ind w:right="141"/>
        <w:jc w:val="both"/>
      </w:pPr>
      <w:r w:rsidRPr="001E0011">
        <w:rPr>
          <w:b/>
          <w:u w:val="single"/>
        </w:rPr>
        <w:t>Raporda Türkiye’ye ilişkin olarak ise</w:t>
      </w:r>
      <w:r w:rsidRPr="001E0011">
        <w:t>;</w:t>
      </w:r>
    </w:p>
    <w:p w:rsidR="001E0011" w:rsidRPr="001E0011" w:rsidRDefault="001E0011" w:rsidP="001E0011">
      <w:pPr>
        <w:pStyle w:val="ListeParagraf"/>
        <w:numPr>
          <w:ilvl w:val="0"/>
          <w:numId w:val="3"/>
        </w:numPr>
        <w:ind w:right="141"/>
        <w:jc w:val="both"/>
      </w:pPr>
      <w:r w:rsidRPr="001E0011">
        <w:t xml:space="preserve">Türkiye başta olmak üzere, emtia ithalatçısı ülkelerdeki ekonomik büyümenin </w:t>
      </w:r>
      <w:r>
        <w:t>zayıf</w:t>
      </w:r>
      <w:r w:rsidRPr="001E0011">
        <w:t xml:space="preserve"> dış talep, artan kapasite kısıtları ve finansal koşulların etkisiyle yavaşladığı,</w:t>
      </w:r>
    </w:p>
    <w:p w:rsidR="001E0011" w:rsidRDefault="001E0011" w:rsidP="001E0011">
      <w:pPr>
        <w:pStyle w:val="ListeParagraf"/>
        <w:numPr>
          <w:ilvl w:val="0"/>
          <w:numId w:val="3"/>
        </w:numPr>
        <w:ind w:right="141"/>
        <w:jc w:val="both"/>
      </w:pPr>
      <w:r w:rsidRPr="001E0011">
        <w:t>Türkiye'deki finansal baskıların</w:t>
      </w:r>
      <w:r>
        <w:t>,</w:t>
      </w:r>
      <w:r w:rsidRPr="001E0011">
        <w:t xml:space="preserve"> Avrupa ve </w:t>
      </w:r>
      <w:r>
        <w:t>Orta</w:t>
      </w:r>
      <w:r w:rsidRPr="001E0011">
        <w:t xml:space="preserve"> Asya’daki bölgesel ekonomik büyümeyi bozabileceği,</w:t>
      </w:r>
    </w:p>
    <w:p w:rsidR="001E0011" w:rsidRPr="00F8621D" w:rsidRDefault="001E0011" w:rsidP="001E0011">
      <w:pPr>
        <w:pStyle w:val="ListeParagraf"/>
        <w:numPr>
          <w:ilvl w:val="0"/>
          <w:numId w:val="3"/>
        </w:numPr>
        <w:ind w:right="141"/>
        <w:jc w:val="both"/>
      </w:pPr>
      <w:r w:rsidRPr="00F8621D">
        <w:lastRenderedPageBreak/>
        <w:t>2019 yılında büyümenin bir önceki rapora kıyasla 2,6 puan aşağı yönlü revize ile -%1,0; 2020 yılında ise %3,0 (revize yok) olarak gerçekleşmesinin beklendiği,</w:t>
      </w:r>
    </w:p>
    <w:p w:rsidR="00FB024A" w:rsidRDefault="001E0011" w:rsidP="00FB024A">
      <w:pPr>
        <w:pStyle w:val="ListeParagraf"/>
        <w:numPr>
          <w:ilvl w:val="0"/>
          <w:numId w:val="3"/>
        </w:numPr>
        <w:spacing w:before="240"/>
        <w:ind w:right="141"/>
        <w:jc w:val="both"/>
      </w:pPr>
      <w:r w:rsidRPr="00F8621D">
        <w:t>Türkiye’nin, GSYH tahminlerinde aşağı yönlü revizenin yüksek olduğu ülkelerden biri olarak öne çıktığı,</w:t>
      </w:r>
      <w:r w:rsidR="00FB024A" w:rsidRPr="00FB024A">
        <w:t xml:space="preserve"> </w:t>
      </w:r>
    </w:p>
    <w:p w:rsidR="00FB024A" w:rsidRPr="00F8621D" w:rsidRDefault="00FB024A" w:rsidP="00FB024A">
      <w:pPr>
        <w:pStyle w:val="ListeParagraf"/>
        <w:numPr>
          <w:ilvl w:val="0"/>
          <w:numId w:val="3"/>
        </w:numPr>
        <w:spacing w:before="240"/>
        <w:ind w:right="141"/>
        <w:jc w:val="both"/>
      </w:pPr>
      <w:r w:rsidRPr="00F8621D">
        <w:t>Para politikası ve borç sürdürülebilirliği konusundaki endişeler nedeniyle, döviz baskıları</w:t>
      </w:r>
      <w:r>
        <w:t>nın</w:t>
      </w:r>
      <w:r w:rsidRPr="00F8621D">
        <w:t xml:space="preserve"> en çok Tü</w:t>
      </w:r>
      <w:r>
        <w:t>rkiye ve Arjantin’de hissedildiği</w:t>
      </w:r>
    </w:p>
    <w:p w:rsidR="001E0011" w:rsidRDefault="001E0011" w:rsidP="00FB024A">
      <w:pPr>
        <w:pStyle w:val="ListeParagraf"/>
        <w:ind w:right="141"/>
        <w:jc w:val="both"/>
      </w:pPr>
    </w:p>
    <w:p w:rsidR="00FB024A" w:rsidRDefault="00FB024A" w:rsidP="00FB024A">
      <w:pPr>
        <w:pStyle w:val="ListeParagraf"/>
        <w:ind w:right="141"/>
        <w:jc w:val="both"/>
      </w:pPr>
    </w:p>
    <w:p w:rsidR="00FB024A" w:rsidRDefault="00FB024A" w:rsidP="00FB024A">
      <w:pPr>
        <w:ind w:right="141"/>
        <w:jc w:val="both"/>
      </w:pPr>
      <w:r>
        <w:t>Bununla birlikte,</w:t>
      </w:r>
    </w:p>
    <w:p w:rsidR="001E0011" w:rsidRPr="00F8621D" w:rsidRDefault="001E0011" w:rsidP="00FB024A">
      <w:pPr>
        <w:pStyle w:val="ListeParagraf"/>
        <w:numPr>
          <w:ilvl w:val="0"/>
          <w:numId w:val="3"/>
        </w:numPr>
        <w:spacing w:before="240" w:line="276" w:lineRule="auto"/>
        <w:ind w:right="141"/>
        <w:jc w:val="both"/>
      </w:pPr>
      <w:r w:rsidRPr="00F8621D">
        <w:t>2020-21 döneminde ise Türkiye ekonomisinin toparlanmasının beklendiği,</w:t>
      </w:r>
    </w:p>
    <w:p w:rsidR="00FB024A" w:rsidRDefault="001E0011" w:rsidP="00FB024A">
      <w:pPr>
        <w:pStyle w:val="ListeParagraf"/>
        <w:numPr>
          <w:ilvl w:val="0"/>
          <w:numId w:val="3"/>
        </w:numPr>
        <w:spacing w:before="240" w:line="276" w:lineRule="auto"/>
        <w:ind w:right="141"/>
        <w:jc w:val="both"/>
      </w:pPr>
      <w:r w:rsidRPr="001E0011">
        <w:t>Yatırımcı güveninin sağlanmasıyla tahminlerin yu</w:t>
      </w:r>
      <w:r w:rsidR="00F8621D">
        <w:t>karı yönlü revize edilebileceği,</w:t>
      </w:r>
      <w:r w:rsidR="00FB024A" w:rsidRPr="00FB024A">
        <w:t xml:space="preserve"> </w:t>
      </w:r>
    </w:p>
    <w:p w:rsidR="005E1BF9" w:rsidRPr="00FB024A" w:rsidRDefault="00FB024A" w:rsidP="00FB024A">
      <w:pPr>
        <w:pStyle w:val="ListeParagraf"/>
        <w:numPr>
          <w:ilvl w:val="0"/>
          <w:numId w:val="3"/>
        </w:numPr>
        <w:spacing w:before="240" w:line="276" w:lineRule="auto"/>
        <w:ind w:right="141"/>
        <w:jc w:val="both"/>
      </w:pPr>
      <w:r>
        <w:t>Finansal piyasalarda yaşanan çalkantıların önümüzdeki dönemde azalabileceği ve yatırımcı güveninin iyileşmeye başlayacağı,</w:t>
      </w:r>
    </w:p>
    <w:p w:rsidR="001E0011" w:rsidRDefault="001E0011" w:rsidP="005E1BF9">
      <w:pPr>
        <w:spacing w:before="240"/>
        <w:ind w:right="141"/>
        <w:jc w:val="both"/>
      </w:pPr>
      <w:r w:rsidRPr="001E0011">
        <w:t xml:space="preserve">İfade edilmiştir. </w:t>
      </w:r>
    </w:p>
    <w:p w:rsidR="005E1BF9" w:rsidRPr="00C667F2" w:rsidRDefault="005E1BF9" w:rsidP="005E1BF9">
      <w:pPr>
        <w:spacing w:before="240"/>
        <w:ind w:right="141"/>
        <w:jc w:val="both"/>
        <w:rPr>
          <w:b/>
        </w:rPr>
      </w:pPr>
      <w:r w:rsidRPr="00C667F2">
        <w:rPr>
          <w:b/>
        </w:rPr>
        <w:t>Değerlendirme</w:t>
      </w:r>
    </w:p>
    <w:p w:rsidR="006008AA" w:rsidRDefault="006008AA" w:rsidP="006008AA">
      <w:pPr>
        <w:spacing w:before="240"/>
        <w:ind w:right="141"/>
        <w:jc w:val="both"/>
      </w:pPr>
      <w:r>
        <w:t>IMF ve OECD’nin ardından Dünya Bankası da küresel büyümeye ilişkin beklentilerinde aşağı yönlü revizyona gitmiştir. Söz konusu revizyonun gerekçeleri diğer uluslararası kuruluşlarla örtüşmekte olup artan ticari gerginlikler en önemli risk faktörü olarak ön plana çıkmaktadır.</w:t>
      </w:r>
    </w:p>
    <w:p w:rsidR="006008AA" w:rsidRDefault="006008AA" w:rsidP="006008AA">
      <w:pPr>
        <w:spacing w:before="240"/>
        <w:ind w:right="141"/>
        <w:jc w:val="both"/>
      </w:pPr>
      <w:r>
        <w:t>Türkiye’ye ilişkin olarak, Düny</w:t>
      </w:r>
      <w:r w:rsidR="00770BFD">
        <w:t>a Bankası 2019 yılı için GSYH’de</w:t>
      </w:r>
      <w:r>
        <w:t xml:space="preserve"> -%1 oranında bir küçülme öngörmüştür. Söz konusu tahminin, IMF ve OECD’nin tahminlerine kıyasla daha iyimser olduğu görülmektedir (OECD -%2,6; IMF -%2,5). Türkiye’nin 2019 GSYH büyümesi için uluslararası kuruluşlar tarafından oluşturulan tahminler arasında gözlenen ciddi farklılıklar dikkat çekici düzeyde bulunmaktadır. </w:t>
      </w:r>
    </w:p>
    <w:p w:rsidR="006008AA" w:rsidRDefault="006008AA" w:rsidP="006008AA">
      <w:pPr>
        <w:spacing w:before="240"/>
        <w:ind w:right="141"/>
        <w:jc w:val="both"/>
      </w:pPr>
      <w:r>
        <w:t>Küresel ticaret ve dış talebe ilişkin olumsuz gelişmeler, Türkiye’nin ihracatı üzerinde olumsuz etki yaratmaktadır. Bununla birlikte TL’de yaşanan değer kaybı ihracat performansımızı destekleyerek söz konusu olumsuz etkiyi dengelemektedir.</w:t>
      </w:r>
    </w:p>
    <w:p w:rsidR="00770BFD" w:rsidRDefault="00770BFD" w:rsidP="005E1BF9">
      <w:pPr>
        <w:spacing w:before="240"/>
        <w:ind w:right="141"/>
        <w:jc w:val="both"/>
      </w:pPr>
    </w:p>
    <w:p w:rsidR="00771690" w:rsidRDefault="00771690" w:rsidP="005E1BF9">
      <w:pPr>
        <w:spacing w:before="240"/>
        <w:ind w:right="141"/>
        <w:jc w:val="both"/>
      </w:pPr>
    </w:p>
    <w:p w:rsidR="00770BFD" w:rsidRPr="00771690" w:rsidRDefault="00770BFD" w:rsidP="00770BFD">
      <w:pPr>
        <w:spacing w:line="276" w:lineRule="auto"/>
        <w:jc w:val="both"/>
        <w:rPr>
          <w:i/>
          <w:sz w:val="24"/>
          <w:szCs w:val="24"/>
        </w:rPr>
      </w:pPr>
      <w:r w:rsidRPr="00771690">
        <w:rPr>
          <w:i/>
          <w:sz w:val="24"/>
          <w:szCs w:val="24"/>
        </w:rPr>
        <w:t xml:space="preserve">Raporun orijinaline aşağıdaki linkten ulaşılabilir: </w:t>
      </w:r>
    </w:p>
    <w:p w:rsidR="005E1BF9" w:rsidRPr="00771690" w:rsidRDefault="00555F05" w:rsidP="005E1BF9">
      <w:pPr>
        <w:spacing w:before="240"/>
        <w:ind w:right="141"/>
        <w:jc w:val="both"/>
        <w:rPr>
          <w:b/>
          <w:i/>
        </w:rPr>
      </w:pPr>
      <w:hyperlink r:id="rId8" w:history="1">
        <w:r w:rsidR="00770BFD" w:rsidRPr="00771690">
          <w:rPr>
            <w:rStyle w:val="Kpr"/>
            <w:i/>
          </w:rPr>
          <w:t>https://www.worldbank.org/en/publication/global-economic-prospects</w:t>
        </w:r>
      </w:hyperlink>
    </w:p>
    <w:p w:rsidR="001E0011" w:rsidRPr="001E0011" w:rsidRDefault="001E0011" w:rsidP="001E0011">
      <w:pPr>
        <w:pStyle w:val="ListeParagraf"/>
        <w:ind w:right="141"/>
        <w:jc w:val="both"/>
      </w:pPr>
    </w:p>
    <w:p w:rsidR="001E0011" w:rsidRPr="00900230" w:rsidRDefault="001E0011" w:rsidP="001E0011">
      <w:pPr>
        <w:ind w:right="141"/>
        <w:jc w:val="both"/>
        <w:rPr>
          <w:b/>
          <w:sz w:val="24"/>
        </w:rPr>
      </w:pPr>
    </w:p>
    <w:p w:rsidR="001E0011" w:rsidRPr="001E0011" w:rsidRDefault="001E0011" w:rsidP="00574DBB">
      <w:pPr>
        <w:ind w:right="141"/>
        <w:jc w:val="both"/>
        <w:rPr>
          <w:b/>
        </w:rPr>
      </w:pPr>
    </w:p>
    <w:sectPr w:rsidR="001E0011" w:rsidRPr="001E0011" w:rsidSect="00712864">
      <w:headerReference w:type="default" r:id="rId9"/>
      <w:footerReference w:type="default" r:id="rId10"/>
      <w:pgSz w:w="11906" w:h="16838"/>
      <w:pgMar w:top="270" w:right="1417" w:bottom="709"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F05" w:rsidRDefault="00555F05" w:rsidP="002B7799">
      <w:pPr>
        <w:spacing w:after="0" w:line="240" w:lineRule="auto"/>
      </w:pPr>
      <w:r>
        <w:separator/>
      </w:r>
    </w:p>
  </w:endnote>
  <w:endnote w:type="continuationSeparator" w:id="0">
    <w:p w:rsidR="00555F05" w:rsidRDefault="00555F05" w:rsidP="002B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38702"/>
      <w:docPartObj>
        <w:docPartGallery w:val="Page Numbers (Bottom of Page)"/>
        <w:docPartUnique/>
      </w:docPartObj>
    </w:sdtPr>
    <w:sdtEndPr/>
    <w:sdtContent>
      <w:sdt>
        <w:sdtPr>
          <w:id w:val="473965494"/>
          <w:docPartObj>
            <w:docPartGallery w:val="Page Numbers (Top of Page)"/>
            <w:docPartUnique/>
          </w:docPartObj>
        </w:sdtPr>
        <w:sdtEndPr/>
        <w:sdtContent>
          <w:p w:rsidR="00A55577" w:rsidRDefault="00A55577">
            <w:pPr>
              <w:pStyle w:val="AltBilgi"/>
              <w:jc w:val="right"/>
            </w:pPr>
            <w:r>
              <w:rPr>
                <w:b/>
                <w:bCs/>
                <w:sz w:val="24"/>
                <w:szCs w:val="24"/>
              </w:rPr>
              <w:fldChar w:fldCharType="begin"/>
            </w:r>
            <w:r>
              <w:rPr>
                <w:b/>
                <w:bCs/>
              </w:rPr>
              <w:instrText>PAGE</w:instrText>
            </w:r>
            <w:r>
              <w:rPr>
                <w:b/>
                <w:bCs/>
                <w:sz w:val="24"/>
                <w:szCs w:val="24"/>
              </w:rPr>
              <w:fldChar w:fldCharType="separate"/>
            </w:r>
            <w:r w:rsidR="00AC2BC3">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C2BC3">
              <w:rPr>
                <w:b/>
                <w:bCs/>
                <w:noProof/>
              </w:rPr>
              <w:t>1</w:t>
            </w:r>
            <w:r>
              <w:rPr>
                <w:b/>
                <w:bCs/>
                <w:sz w:val="24"/>
                <w:szCs w:val="24"/>
              </w:rPr>
              <w:fldChar w:fldCharType="end"/>
            </w:r>
          </w:p>
        </w:sdtContent>
      </w:sdt>
    </w:sdtContent>
  </w:sdt>
  <w:p w:rsidR="00A55577" w:rsidRDefault="00A555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F05" w:rsidRDefault="00555F05" w:rsidP="002B7799">
      <w:pPr>
        <w:spacing w:after="0" w:line="240" w:lineRule="auto"/>
      </w:pPr>
      <w:r>
        <w:separator/>
      </w:r>
    </w:p>
  </w:footnote>
  <w:footnote w:type="continuationSeparator" w:id="0">
    <w:p w:rsidR="00555F05" w:rsidRDefault="00555F05" w:rsidP="002B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577" w:rsidRDefault="00335842">
    <w:pPr>
      <w:pStyle w:val="stBilgi"/>
    </w:pPr>
    <w:r>
      <w:t>T.C. Ticaret Bakanlığı</w:t>
    </w:r>
    <w:r>
      <w:tab/>
    </w:r>
    <w:r>
      <w:tab/>
      <w:t>10.06</w:t>
    </w:r>
    <w:r w:rsidR="00A55577">
      <w:t>.2019</w:t>
    </w:r>
  </w:p>
  <w:p w:rsidR="00A55577" w:rsidRDefault="00A55577">
    <w:pPr>
      <w:pStyle w:val="stBilgi"/>
    </w:pPr>
    <w:r>
      <w:t>Ticaret Araştırmaları Genel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D73"/>
    <w:multiLevelType w:val="hybridMultilevel"/>
    <w:tmpl w:val="6D6C6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E029A"/>
    <w:multiLevelType w:val="hybridMultilevel"/>
    <w:tmpl w:val="FF9C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6106CB"/>
    <w:multiLevelType w:val="hybridMultilevel"/>
    <w:tmpl w:val="A906D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D85687"/>
    <w:multiLevelType w:val="hybridMultilevel"/>
    <w:tmpl w:val="A48AE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094C57"/>
    <w:multiLevelType w:val="hybridMultilevel"/>
    <w:tmpl w:val="EDE2B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7920BC"/>
    <w:multiLevelType w:val="hybridMultilevel"/>
    <w:tmpl w:val="2A161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64"/>
    <w:rsid w:val="00002871"/>
    <w:rsid w:val="000551FA"/>
    <w:rsid w:val="0007402F"/>
    <w:rsid w:val="000D386E"/>
    <w:rsid w:val="000F6740"/>
    <w:rsid w:val="00156B2B"/>
    <w:rsid w:val="00167C29"/>
    <w:rsid w:val="001E0011"/>
    <w:rsid w:val="002411AD"/>
    <w:rsid w:val="00257B87"/>
    <w:rsid w:val="002668F5"/>
    <w:rsid w:val="002A66D2"/>
    <w:rsid w:val="002B7799"/>
    <w:rsid w:val="00320D79"/>
    <w:rsid w:val="00335842"/>
    <w:rsid w:val="003575F5"/>
    <w:rsid w:val="003B1057"/>
    <w:rsid w:val="003B3A53"/>
    <w:rsid w:val="003D1ADF"/>
    <w:rsid w:val="00416FD9"/>
    <w:rsid w:val="00430DC7"/>
    <w:rsid w:val="00472C10"/>
    <w:rsid w:val="00485B21"/>
    <w:rsid w:val="00495F62"/>
    <w:rsid w:val="004C79F0"/>
    <w:rsid w:val="004F3DE6"/>
    <w:rsid w:val="00555F05"/>
    <w:rsid w:val="005749C5"/>
    <w:rsid w:val="00574DBB"/>
    <w:rsid w:val="005872C5"/>
    <w:rsid w:val="005B304A"/>
    <w:rsid w:val="005E09FF"/>
    <w:rsid w:val="005E1BF9"/>
    <w:rsid w:val="005E39C0"/>
    <w:rsid w:val="006008AA"/>
    <w:rsid w:val="00615DCD"/>
    <w:rsid w:val="00646CE8"/>
    <w:rsid w:val="006A1CEC"/>
    <w:rsid w:val="00712864"/>
    <w:rsid w:val="00730836"/>
    <w:rsid w:val="0075664B"/>
    <w:rsid w:val="00767F17"/>
    <w:rsid w:val="00770BFD"/>
    <w:rsid w:val="00771690"/>
    <w:rsid w:val="00860675"/>
    <w:rsid w:val="00861B29"/>
    <w:rsid w:val="008710DD"/>
    <w:rsid w:val="0088493B"/>
    <w:rsid w:val="008E63AC"/>
    <w:rsid w:val="00932F4D"/>
    <w:rsid w:val="00932FC4"/>
    <w:rsid w:val="00993565"/>
    <w:rsid w:val="009E50A4"/>
    <w:rsid w:val="009E562B"/>
    <w:rsid w:val="009F4384"/>
    <w:rsid w:val="00A0231C"/>
    <w:rsid w:val="00A27BD8"/>
    <w:rsid w:val="00A55577"/>
    <w:rsid w:val="00A55F03"/>
    <w:rsid w:val="00A76C35"/>
    <w:rsid w:val="00A86113"/>
    <w:rsid w:val="00AC1B06"/>
    <w:rsid w:val="00AC2BC3"/>
    <w:rsid w:val="00AD6664"/>
    <w:rsid w:val="00B075EB"/>
    <w:rsid w:val="00B20860"/>
    <w:rsid w:val="00B30414"/>
    <w:rsid w:val="00B465A9"/>
    <w:rsid w:val="00B60A71"/>
    <w:rsid w:val="00B923DD"/>
    <w:rsid w:val="00C55EF2"/>
    <w:rsid w:val="00C667F2"/>
    <w:rsid w:val="00C7235D"/>
    <w:rsid w:val="00CB317B"/>
    <w:rsid w:val="00CC06DE"/>
    <w:rsid w:val="00CE07A1"/>
    <w:rsid w:val="00D12B53"/>
    <w:rsid w:val="00D73DE6"/>
    <w:rsid w:val="00E45055"/>
    <w:rsid w:val="00E61C58"/>
    <w:rsid w:val="00E8649D"/>
    <w:rsid w:val="00E87F9D"/>
    <w:rsid w:val="00E90005"/>
    <w:rsid w:val="00F03D64"/>
    <w:rsid w:val="00F36286"/>
    <w:rsid w:val="00F51C6E"/>
    <w:rsid w:val="00F7522D"/>
    <w:rsid w:val="00F8621D"/>
    <w:rsid w:val="00F8701C"/>
    <w:rsid w:val="00FB024A"/>
    <w:rsid w:val="00FC2534"/>
    <w:rsid w:val="00FF1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5116F-D618-43F1-9291-D1EF8CBA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F4D"/>
    <w:pPr>
      <w:ind w:left="720"/>
      <w:contextualSpacing/>
    </w:pPr>
  </w:style>
  <w:style w:type="paragraph" w:styleId="ResimYazs">
    <w:name w:val="caption"/>
    <w:basedOn w:val="Normal"/>
    <w:next w:val="Normal"/>
    <w:uiPriority w:val="35"/>
    <w:unhideWhenUsed/>
    <w:qFormat/>
    <w:rsid w:val="00416FD9"/>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2B77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7799"/>
  </w:style>
  <w:style w:type="paragraph" w:styleId="AltBilgi">
    <w:name w:val="footer"/>
    <w:basedOn w:val="Normal"/>
    <w:link w:val="AltBilgiChar"/>
    <w:uiPriority w:val="99"/>
    <w:unhideWhenUsed/>
    <w:rsid w:val="002B77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7799"/>
  </w:style>
  <w:style w:type="table" w:styleId="TabloKlavuzu">
    <w:name w:val="Table Grid"/>
    <w:basedOn w:val="NormalTablo"/>
    <w:uiPriority w:val="39"/>
    <w:rsid w:val="00A5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70BFD"/>
    <w:rPr>
      <w:color w:val="0563C1"/>
      <w:u w:val="single"/>
    </w:rPr>
  </w:style>
  <w:style w:type="character" w:styleId="zlenenKpr">
    <w:name w:val="FollowedHyperlink"/>
    <w:basedOn w:val="VarsaylanParagrafYazTipi"/>
    <w:uiPriority w:val="99"/>
    <w:semiHidden/>
    <w:unhideWhenUsed/>
    <w:rsid w:val="00770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3778">
      <w:bodyDiv w:val="1"/>
      <w:marLeft w:val="0"/>
      <w:marRight w:val="0"/>
      <w:marTop w:val="0"/>
      <w:marBottom w:val="0"/>
      <w:divBdr>
        <w:top w:val="none" w:sz="0" w:space="0" w:color="auto"/>
        <w:left w:val="none" w:sz="0" w:space="0" w:color="auto"/>
        <w:bottom w:val="none" w:sz="0" w:space="0" w:color="auto"/>
        <w:right w:val="none" w:sz="0" w:space="0" w:color="auto"/>
      </w:divBdr>
    </w:div>
    <w:div w:id="711619144">
      <w:bodyDiv w:val="1"/>
      <w:marLeft w:val="0"/>
      <w:marRight w:val="0"/>
      <w:marTop w:val="0"/>
      <w:marBottom w:val="0"/>
      <w:divBdr>
        <w:top w:val="none" w:sz="0" w:space="0" w:color="auto"/>
        <w:left w:val="none" w:sz="0" w:space="0" w:color="auto"/>
        <w:bottom w:val="none" w:sz="0" w:space="0" w:color="auto"/>
        <w:right w:val="none" w:sz="0" w:space="0" w:color="auto"/>
      </w:divBdr>
    </w:div>
    <w:div w:id="859127804">
      <w:bodyDiv w:val="1"/>
      <w:marLeft w:val="0"/>
      <w:marRight w:val="0"/>
      <w:marTop w:val="0"/>
      <w:marBottom w:val="0"/>
      <w:divBdr>
        <w:top w:val="none" w:sz="0" w:space="0" w:color="auto"/>
        <w:left w:val="none" w:sz="0" w:space="0" w:color="auto"/>
        <w:bottom w:val="none" w:sz="0" w:space="0" w:color="auto"/>
        <w:right w:val="none" w:sz="0" w:space="0" w:color="auto"/>
      </w:divBdr>
    </w:div>
    <w:div w:id="1673870254">
      <w:bodyDiv w:val="1"/>
      <w:marLeft w:val="0"/>
      <w:marRight w:val="0"/>
      <w:marTop w:val="0"/>
      <w:marBottom w:val="0"/>
      <w:divBdr>
        <w:top w:val="none" w:sz="0" w:space="0" w:color="auto"/>
        <w:left w:val="none" w:sz="0" w:space="0" w:color="auto"/>
        <w:bottom w:val="none" w:sz="0" w:space="0" w:color="auto"/>
        <w:right w:val="none" w:sz="0" w:space="0" w:color="auto"/>
      </w:divBdr>
    </w:div>
    <w:div w:id="21145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ublication/global-economic-prospects%23targetText=Growth%20in%20the%20East%20Asia,percent%20in%202019%20and%202020.&amp;targetText=In%20the%20rest%20of%20the,2021%2C%20as%20global%20trade%20stabilize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T.C. Ekonomi Bakanlığı</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Berat ÖZER</dc:creator>
  <cp:keywords/>
  <dc:description/>
  <cp:lastModifiedBy>Derya KAYA</cp:lastModifiedBy>
  <cp:revision>2</cp:revision>
  <dcterms:created xsi:type="dcterms:W3CDTF">2019-08-27T12:22:00Z</dcterms:created>
  <dcterms:modified xsi:type="dcterms:W3CDTF">2019-08-27T12:22:00Z</dcterms:modified>
</cp:coreProperties>
</file>